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14" w:rsidRPr="00621914" w:rsidRDefault="00621914" w:rsidP="00621914">
      <w:pPr>
        <w:pStyle w:val="Title"/>
        <w:jc w:val="center"/>
        <w:rPr>
          <w:b/>
          <w:sz w:val="28"/>
          <w:szCs w:val="28"/>
        </w:rPr>
      </w:pPr>
      <w:r w:rsidRPr="00621914">
        <w:rPr>
          <w:b/>
          <w:sz w:val="28"/>
          <w:szCs w:val="28"/>
        </w:rPr>
        <w:t>MONITORING AND IMPROVING COMPLIANCE – N</w:t>
      </w:r>
      <w:r w:rsidR="00590AB6">
        <w:rPr>
          <w:b/>
          <w:sz w:val="28"/>
          <w:szCs w:val="28"/>
        </w:rPr>
        <w:t>o</w:t>
      </w:r>
      <w:bookmarkStart w:id="0" w:name="_GoBack"/>
      <w:bookmarkEnd w:id="0"/>
      <w:r w:rsidRPr="00621914">
        <w:rPr>
          <w:b/>
          <w:sz w:val="28"/>
          <w:szCs w:val="28"/>
        </w:rPr>
        <w:t xml:space="preserve">. </w:t>
      </w:r>
      <w:r w:rsidR="00672D26">
        <w:rPr>
          <w:b/>
          <w:sz w:val="28"/>
          <w:szCs w:val="28"/>
        </w:rPr>
        <w:t>3</w:t>
      </w:r>
    </w:p>
    <w:p w:rsidR="00027C27" w:rsidRPr="00645B89" w:rsidRDefault="00F22C6F" w:rsidP="00452D8E">
      <w:pPr>
        <w:pStyle w:val="Title"/>
        <w:jc w:val="center"/>
        <w:rPr>
          <w:b/>
          <w:sz w:val="28"/>
          <w:szCs w:val="28"/>
        </w:rPr>
      </w:pPr>
      <w:proofErr w:type="spellStart"/>
      <w:r w:rsidRPr="00645B89">
        <w:rPr>
          <w:b/>
          <w:sz w:val="28"/>
          <w:szCs w:val="28"/>
        </w:rPr>
        <w:t>SRWR</w:t>
      </w:r>
      <w:proofErr w:type="spellEnd"/>
      <w:r w:rsidRPr="00645B89">
        <w:rPr>
          <w:b/>
          <w:sz w:val="28"/>
          <w:szCs w:val="28"/>
        </w:rPr>
        <w:t xml:space="preserve"> Dashboard changes</w:t>
      </w:r>
    </w:p>
    <w:p w:rsidR="00465D13" w:rsidRDefault="00F22C6F" w:rsidP="00465D13">
      <w:pPr>
        <w:pStyle w:val="Heading1"/>
      </w:pPr>
      <w:r>
        <w:t xml:space="preserve">Indicator R6 – Works that over ran </w:t>
      </w:r>
    </w:p>
    <w:p w:rsidR="00F22C6F" w:rsidRDefault="00465D13" w:rsidP="00B561C0">
      <w:r>
        <w:t>This was p</w:t>
      </w:r>
      <w:r w:rsidR="00F22C6F" w:rsidRPr="00465D13">
        <w:t xml:space="preserve">reviously </w:t>
      </w:r>
      <w:r>
        <w:t>called Overrunning Works and</w:t>
      </w:r>
      <w:r w:rsidR="00F22C6F">
        <w:t xml:space="preserve"> was shown as a percentage of works that over ran against works that started in the quarter. The target was 0% - 1%. Now shown as a number with no Red/Amber/Green status. The Commissioner’s expectation is that organisations will keep this under control (numbers have been traditionally low). You can expect the Commissioner to comment if you have a sudden increase in works that over ran</w:t>
      </w:r>
      <w:r w:rsidR="00766D37">
        <w:t xml:space="preserve"> compared to previous quarters</w:t>
      </w:r>
      <w:r w:rsidR="00F22C6F">
        <w:t>.</w:t>
      </w:r>
    </w:p>
    <w:p w:rsidR="00F22C6F" w:rsidRDefault="00F22C6F" w:rsidP="00B561C0"/>
    <w:p w:rsidR="00F22C6F" w:rsidRDefault="00F22C6F" w:rsidP="00465D13">
      <w:pPr>
        <w:pStyle w:val="Heading1"/>
      </w:pPr>
      <w:r>
        <w:t>Indicator R16 – Works awaiting closure</w:t>
      </w:r>
    </w:p>
    <w:p w:rsidR="00F22C6F" w:rsidRDefault="00F22C6F" w:rsidP="00F22C6F">
      <w:r>
        <w:t>This was previously shown as a percentage of works that need to be closed against works that started in the quarter. The target for this was (and still is) 0 works awaiting closure. Now shown as a number with no Red/Amber/Greed status. The Commissioner’s expectation is that organisations will still keep this under control</w:t>
      </w:r>
      <w:r w:rsidR="001C3AB7">
        <w:t>.</w:t>
      </w:r>
      <w:r>
        <w:t xml:space="preserve"> You can expect the Commissioner to comment if you have a sudden increase in works that need to be closed.</w:t>
      </w:r>
    </w:p>
    <w:p w:rsidR="00F22C6F" w:rsidRDefault="00F22C6F" w:rsidP="00F22C6F"/>
    <w:p w:rsidR="00F22C6F" w:rsidRDefault="00F22C6F" w:rsidP="00465D13">
      <w:pPr>
        <w:pStyle w:val="Heading1"/>
      </w:pPr>
      <w:r>
        <w:t>Indicator R16 - Works Awaiting Final Site Reinstatement Details</w:t>
      </w:r>
    </w:p>
    <w:p w:rsidR="00F22C6F" w:rsidRDefault="00F22C6F" w:rsidP="00F22C6F">
      <w:r>
        <w:t>This was previously shown as a percentage of works that need final reinstatement details recorded, against works that started in the quarter. The target was 0% - 1%. Now shown as a number with no Red/Amber/Green status. The Commissioner’s expectation is that organisations will still keep this under control</w:t>
      </w:r>
      <w:r w:rsidR="001C3AB7">
        <w:t>.</w:t>
      </w:r>
      <w:r>
        <w:t xml:space="preserve"> You can expect the Commissioner to comment if you have a sudden increase in works that need to have the final reinstatement recorded.</w:t>
      </w:r>
    </w:p>
    <w:p w:rsidR="00F22C6F" w:rsidRDefault="00F22C6F" w:rsidP="00F22C6F"/>
    <w:p w:rsidR="00F22C6F" w:rsidRDefault="00F22C6F" w:rsidP="00465D13">
      <w:pPr>
        <w:pStyle w:val="Heading1"/>
      </w:pPr>
      <w:r>
        <w:t>Indicator R17e - S125 Notices Issued/Received</w:t>
      </w:r>
    </w:p>
    <w:p w:rsidR="00F22C6F" w:rsidRDefault="00F22C6F" w:rsidP="00F22C6F">
      <w:r>
        <w:t>For undertakers this was previously shown as a percentage of works that received a direction, against works that started in the quarter. The target for this was (and still is) 0 works receiving a direction. Now shown as a number with no Red/Amber/Greed status. The Commissioner’s expectation is that organisations will still keep this under control</w:t>
      </w:r>
      <w:r w:rsidR="001C3AB7">
        <w:t>.</w:t>
      </w:r>
      <w:r>
        <w:t xml:space="preserve"> You can expect the Commissioner to comment if you have a sudden increase in works that have been given a direction.</w:t>
      </w:r>
    </w:p>
    <w:p w:rsidR="00F22C6F" w:rsidRDefault="00F22C6F" w:rsidP="00F22C6F"/>
    <w:p w:rsidR="00465D13" w:rsidRDefault="00465D13">
      <w:pPr>
        <w:spacing w:before="100" w:after="200"/>
        <w:rPr>
          <w:caps/>
          <w:spacing w:val="15"/>
        </w:rPr>
      </w:pPr>
      <w:r>
        <w:br w:type="page"/>
      </w:r>
    </w:p>
    <w:p w:rsidR="00F22C6F" w:rsidRDefault="00F22C6F" w:rsidP="00465D13">
      <w:pPr>
        <w:pStyle w:val="Heading1"/>
      </w:pPr>
      <w:r>
        <w:lastRenderedPageBreak/>
        <w:t>Indicator R18 - No of interim reinstatements after 6 months without agreement</w:t>
      </w:r>
    </w:p>
    <w:p w:rsidR="00F22C6F" w:rsidRDefault="00F22C6F" w:rsidP="00F22C6F">
      <w:r>
        <w:t>This was previously shown as a percentage of works that have outstanding interim reinstatements, against works that started in the quarter. The target for this was (and still is) 0 works with an interim agreement after 6 months (without agreement). Now shown as a number with no Red/Amber/Greed status. The Commissioner’s expectation is that organisations will still keep this under control</w:t>
      </w:r>
      <w:r w:rsidR="001C3AB7">
        <w:t>.</w:t>
      </w:r>
      <w:r>
        <w:t xml:space="preserve"> You can expect the Commissioner to comment if you have a sudden increase in works that have outstanding interim reinstatements.</w:t>
      </w:r>
    </w:p>
    <w:p w:rsidR="00F22C6F" w:rsidRDefault="00F22C6F" w:rsidP="00F22C6F"/>
    <w:p w:rsidR="00F22C6F" w:rsidRDefault="00F22C6F" w:rsidP="00465D13">
      <w:pPr>
        <w:pStyle w:val="Heading1"/>
      </w:pPr>
      <w:r>
        <w:t>Indicator R</w:t>
      </w:r>
      <w:r w:rsidR="007A6885">
        <w:t>25</w:t>
      </w:r>
      <w:r>
        <w:t xml:space="preserve"> - Substandard TM</w:t>
      </w:r>
    </w:p>
    <w:p w:rsidR="00F22C6F" w:rsidRDefault="00F22C6F" w:rsidP="00F22C6F">
      <w:r>
        <w:t xml:space="preserve">The target </w:t>
      </w:r>
      <w:r w:rsidR="007A6885">
        <w:t xml:space="preserve">now reflects the targets given in the performance review, </w:t>
      </w:r>
      <w:r>
        <w:t>0%-1%.</w:t>
      </w:r>
    </w:p>
    <w:p w:rsidR="00F22C6F" w:rsidRDefault="00F22C6F" w:rsidP="00F22C6F"/>
    <w:p w:rsidR="0060556F" w:rsidRDefault="0060556F" w:rsidP="00465D13">
      <w:pPr>
        <w:pStyle w:val="Heading1"/>
      </w:pPr>
      <w:r>
        <w:t xml:space="preserve">Indicator R24 - </w:t>
      </w:r>
      <w:r w:rsidRPr="00F22C6F">
        <w:t>Misuse of Traffic Management “Not Yet Known”</w:t>
      </w:r>
    </w:p>
    <w:p w:rsidR="0060556F" w:rsidRDefault="0060556F" w:rsidP="0060556F">
      <w:r>
        <w:t xml:space="preserve">This has been returned to being shown as a percentage of works misusing the TM type, against the works started in the quarter. </w:t>
      </w:r>
      <w:r w:rsidR="001C3AB7" w:rsidRPr="001C3AB7">
        <w:t>The target now reflects the targets given in the performance review, 0%-1%.</w:t>
      </w:r>
    </w:p>
    <w:p w:rsidR="001C3AB7" w:rsidRDefault="001C3AB7" w:rsidP="0060556F"/>
    <w:p w:rsidR="0060556F" w:rsidRDefault="0060556F" w:rsidP="00465D13">
      <w:pPr>
        <w:pStyle w:val="Heading1"/>
      </w:pPr>
      <w:r>
        <w:t>Indicator R24 – Works missing Contact Details</w:t>
      </w:r>
    </w:p>
    <w:p w:rsidR="0060556F" w:rsidRDefault="0060556F" w:rsidP="0060556F">
      <w:r>
        <w:t xml:space="preserve">This has been returned to being shown as a percentage of works missing contact details, against the works started in the quarter. </w:t>
      </w:r>
      <w:r w:rsidR="001C3AB7" w:rsidRPr="001C3AB7">
        <w:t>The target now reflects the targets given in the performance review, 0%-1%.</w:t>
      </w:r>
    </w:p>
    <w:p w:rsidR="003404AE" w:rsidRDefault="003404AE" w:rsidP="00B561C0"/>
    <w:p w:rsidR="003404AE" w:rsidRDefault="003404AE" w:rsidP="00465D13">
      <w:pPr>
        <w:pStyle w:val="Heading1"/>
      </w:pPr>
      <w:r w:rsidRPr="003404AE">
        <w:t xml:space="preserve">Sample Inspection Totals </w:t>
      </w:r>
    </w:p>
    <w:p w:rsidR="003404AE" w:rsidRPr="009B7615" w:rsidRDefault="003404AE" w:rsidP="00B561C0">
      <w:r>
        <w:t>For authorities</w:t>
      </w:r>
      <w:r w:rsidR="00766D37">
        <w:t>;</w:t>
      </w:r>
      <w:r>
        <w:t xml:space="preserve"> this is displayed as </w:t>
      </w:r>
      <w:r w:rsidR="00766D37">
        <w:t xml:space="preserve">a </w:t>
      </w:r>
      <w:r>
        <w:t>percentage of inspections carried out</w:t>
      </w:r>
      <w:r w:rsidR="00465D13">
        <w:t xml:space="preserve"> up to the current quarter,</w:t>
      </w:r>
      <w:r>
        <w:t xml:space="preserve"> </w:t>
      </w:r>
      <w:r w:rsidRPr="003404AE">
        <w:t xml:space="preserve">against the </w:t>
      </w:r>
      <w:r>
        <w:t>agreed annual sample targets.</w:t>
      </w:r>
    </w:p>
    <w:sectPr w:rsidR="003404AE" w:rsidRPr="009B7615" w:rsidSect="00B561C0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13" w:rsidRDefault="00465D13" w:rsidP="00465D13">
      <w:pPr>
        <w:spacing w:after="0" w:line="240" w:lineRule="auto"/>
      </w:pPr>
      <w:r>
        <w:separator/>
      </w:r>
    </w:p>
  </w:endnote>
  <w:endnote w:type="continuationSeparator" w:id="0">
    <w:p w:rsidR="00465D13" w:rsidRDefault="00465D13" w:rsidP="0046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1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D13" w:rsidRDefault="00465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D13" w:rsidRDefault="0046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13" w:rsidRDefault="00465D13" w:rsidP="00465D13">
      <w:pPr>
        <w:spacing w:after="0" w:line="240" w:lineRule="auto"/>
      </w:pPr>
      <w:r>
        <w:separator/>
      </w:r>
    </w:p>
  </w:footnote>
  <w:footnote w:type="continuationSeparator" w:id="0">
    <w:p w:rsidR="00465D13" w:rsidRDefault="00465D13" w:rsidP="0046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13" w:rsidRDefault="00465D13">
    <w:pPr>
      <w:pStyle w:val="Header"/>
    </w:pPr>
    <w:r>
      <w:rPr>
        <w:noProof/>
        <w:lang w:eastAsia="en-GB"/>
      </w:rPr>
      <w:drawing>
        <wp:inline distT="0" distB="0" distL="0" distR="0">
          <wp:extent cx="5652516" cy="46863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WC_Logo_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516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D13" w:rsidRDefault="0046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6F"/>
    <w:rsid w:val="00027C27"/>
    <w:rsid w:val="000C0CF4"/>
    <w:rsid w:val="001C3AB7"/>
    <w:rsid w:val="00281579"/>
    <w:rsid w:val="00306C61"/>
    <w:rsid w:val="003404AE"/>
    <w:rsid w:val="0037582B"/>
    <w:rsid w:val="004059BF"/>
    <w:rsid w:val="00452D8E"/>
    <w:rsid w:val="00465D13"/>
    <w:rsid w:val="00590AB6"/>
    <w:rsid w:val="0060556F"/>
    <w:rsid w:val="00621914"/>
    <w:rsid w:val="00645B89"/>
    <w:rsid w:val="00672D26"/>
    <w:rsid w:val="00766D37"/>
    <w:rsid w:val="007A6885"/>
    <w:rsid w:val="00857548"/>
    <w:rsid w:val="009B7615"/>
    <w:rsid w:val="00B51BDC"/>
    <w:rsid w:val="00B561C0"/>
    <w:rsid w:val="00B773CE"/>
    <w:rsid w:val="00C91823"/>
    <w:rsid w:val="00D008AB"/>
    <w:rsid w:val="00D92204"/>
    <w:rsid w:val="00F22C6F"/>
    <w:rsid w:val="00F5015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7CFF5"/>
  <w15:chartTrackingRefBased/>
  <w15:docId w15:val="{7473AB47-7F2A-4FFE-B25B-FA93201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13"/>
    <w:pPr>
      <w:spacing w:before="0" w:after="120"/>
    </w:pPr>
    <w:rPr>
      <w:rFonts w:ascii="Arial" w:hAnsi="Arial"/>
      <w:sz w:val="24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465D13"/>
    <w:pPr>
      <w:pBdr>
        <w:top w:val="single" w:sz="24" w:space="0" w:color="E3001B" w:themeColor="accent1"/>
        <w:left w:val="single" w:sz="24" w:space="0" w:color="E3001B" w:themeColor="accent1"/>
        <w:bottom w:val="single" w:sz="24" w:space="0" w:color="E3001B" w:themeColor="accent1"/>
        <w:right w:val="single" w:sz="24" w:space="0" w:color="E3001B" w:themeColor="accent1"/>
      </w:pBdr>
      <w:shd w:val="clear" w:color="auto" w:fill="E300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465D13"/>
    <w:pPr>
      <w:pBdr>
        <w:top w:val="single" w:sz="24" w:space="0" w:color="FFC6CD" w:themeColor="accent1" w:themeTint="33"/>
        <w:left w:val="single" w:sz="24" w:space="0" w:color="FFC6CD" w:themeColor="accent1" w:themeTint="33"/>
        <w:bottom w:val="single" w:sz="24" w:space="0" w:color="FFC6CD" w:themeColor="accent1" w:themeTint="33"/>
        <w:right w:val="single" w:sz="24" w:space="0" w:color="FFC6CD" w:themeColor="accent1" w:themeTint="33"/>
      </w:pBdr>
      <w:shd w:val="clear" w:color="auto" w:fill="FFC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465D13"/>
    <w:pPr>
      <w:pBdr>
        <w:top w:val="single" w:sz="6" w:space="2" w:color="E3001B" w:themeColor="accent1"/>
      </w:pBdr>
      <w:spacing w:before="300" w:after="0"/>
      <w:outlineLvl w:val="2"/>
    </w:pPr>
    <w:rPr>
      <w:caps/>
      <w:color w:val="71000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D13"/>
    <w:pPr>
      <w:pBdr>
        <w:top w:val="dotted" w:sz="6" w:space="2" w:color="E3001B" w:themeColor="accent1"/>
      </w:pBdr>
      <w:spacing w:before="200" w:after="0"/>
      <w:outlineLvl w:val="3"/>
    </w:pPr>
    <w:rPr>
      <w:caps/>
      <w:color w:val="AA001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D13"/>
    <w:pPr>
      <w:pBdr>
        <w:bottom w:val="single" w:sz="6" w:space="1" w:color="E3001B" w:themeColor="accent1"/>
      </w:pBdr>
      <w:spacing w:before="200" w:after="0"/>
      <w:outlineLvl w:val="4"/>
    </w:pPr>
    <w:rPr>
      <w:caps/>
      <w:color w:val="AA001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D13"/>
    <w:pPr>
      <w:pBdr>
        <w:bottom w:val="dotted" w:sz="6" w:space="1" w:color="E3001B" w:themeColor="accent1"/>
      </w:pBdr>
      <w:spacing w:before="200" w:after="0"/>
      <w:outlineLvl w:val="5"/>
    </w:pPr>
    <w:rPr>
      <w:caps/>
      <w:color w:val="AA001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D13"/>
    <w:pPr>
      <w:spacing w:before="200" w:after="0"/>
      <w:outlineLvl w:val="6"/>
    </w:pPr>
    <w:rPr>
      <w:caps/>
      <w:color w:val="AA001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D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D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465D13"/>
    <w:rPr>
      <w:caps/>
      <w:color w:val="FFFFFF" w:themeColor="background1"/>
      <w:spacing w:val="15"/>
      <w:sz w:val="22"/>
      <w:szCs w:val="22"/>
      <w:shd w:val="clear" w:color="auto" w:fill="E3001B" w:themeFill="accent1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465D13"/>
    <w:rPr>
      <w:caps/>
      <w:spacing w:val="15"/>
      <w:shd w:val="clear" w:color="auto" w:fill="FFC6CD" w:themeFill="accent1" w:themeFillTint="33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465D13"/>
    <w:rPr>
      <w:caps/>
      <w:color w:val="71000D" w:themeColor="accent1" w:themeShade="7F"/>
      <w:spacing w:val="15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D13"/>
    <w:rPr>
      <w:caps/>
      <w:color w:val="AA001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D13"/>
    <w:rPr>
      <w:caps/>
      <w:color w:val="AA001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D13"/>
    <w:rPr>
      <w:caps/>
      <w:color w:val="AA001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D13"/>
    <w:rPr>
      <w:caps/>
      <w:color w:val="AA001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D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D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D13"/>
    <w:rPr>
      <w:b/>
      <w:bCs/>
      <w:color w:val="AA001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5D13"/>
    <w:rPr>
      <w:rFonts w:eastAsiaTheme="majorEastAsia" w:cs="Arial"/>
      <w:caps/>
      <w:color w:val="000000" w:themeColor="text1"/>
      <w:spacing w:val="1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65D13"/>
    <w:rPr>
      <w:rFonts w:ascii="Arial" w:eastAsiaTheme="majorEastAsia" w:hAnsi="Arial" w:cs="Arial"/>
      <w:caps/>
      <w:color w:val="000000" w:themeColor="text1"/>
      <w:spacing w:val="10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D1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65D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65D13"/>
    <w:rPr>
      <w:b/>
      <w:bCs/>
    </w:rPr>
  </w:style>
  <w:style w:type="character" w:styleId="Emphasis">
    <w:name w:val="Emphasis"/>
    <w:uiPriority w:val="20"/>
    <w:qFormat/>
    <w:rsid w:val="00465D13"/>
    <w:rPr>
      <w:caps/>
      <w:color w:val="71000D" w:themeColor="accent1" w:themeShade="7F"/>
      <w:spacing w:val="5"/>
    </w:rPr>
  </w:style>
  <w:style w:type="paragraph" w:styleId="NoSpacing">
    <w:name w:val="No Spacing"/>
    <w:uiPriority w:val="1"/>
    <w:qFormat/>
    <w:rsid w:val="00465D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5D13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5D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D13"/>
    <w:pPr>
      <w:spacing w:before="240" w:after="240" w:line="240" w:lineRule="auto"/>
      <w:ind w:left="1080" w:right="1080"/>
      <w:jc w:val="center"/>
    </w:pPr>
    <w:rPr>
      <w:color w:val="E3001B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D13"/>
    <w:rPr>
      <w:color w:val="E3001B" w:themeColor="accent1"/>
      <w:sz w:val="24"/>
      <w:szCs w:val="24"/>
    </w:rPr>
  </w:style>
  <w:style w:type="character" w:styleId="SubtleEmphasis">
    <w:name w:val="Subtle Emphasis"/>
    <w:uiPriority w:val="19"/>
    <w:qFormat/>
    <w:rsid w:val="00465D13"/>
    <w:rPr>
      <w:i/>
      <w:iCs/>
      <w:color w:val="71000D" w:themeColor="accent1" w:themeShade="7F"/>
    </w:rPr>
  </w:style>
  <w:style w:type="character" w:styleId="IntenseEmphasis">
    <w:name w:val="Intense Emphasis"/>
    <w:uiPriority w:val="21"/>
    <w:qFormat/>
    <w:rsid w:val="00465D13"/>
    <w:rPr>
      <w:b/>
      <w:bCs/>
      <w:caps/>
      <w:color w:val="71000D" w:themeColor="accent1" w:themeShade="7F"/>
      <w:spacing w:val="10"/>
    </w:rPr>
  </w:style>
  <w:style w:type="character" w:styleId="SubtleReference">
    <w:name w:val="Subtle Reference"/>
    <w:uiPriority w:val="31"/>
    <w:qFormat/>
    <w:rsid w:val="00465D13"/>
    <w:rPr>
      <w:b/>
      <w:bCs/>
      <w:color w:val="E3001B" w:themeColor="accent1"/>
    </w:rPr>
  </w:style>
  <w:style w:type="character" w:styleId="IntenseReference">
    <w:name w:val="Intense Reference"/>
    <w:uiPriority w:val="32"/>
    <w:qFormat/>
    <w:rsid w:val="00465D13"/>
    <w:rPr>
      <w:b/>
      <w:bCs/>
      <w:i/>
      <w:iCs/>
      <w:caps/>
      <w:color w:val="E3001B" w:themeColor="accent1"/>
    </w:rPr>
  </w:style>
  <w:style w:type="character" w:styleId="BookTitle">
    <w:name w:val="Book Title"/>
    <w:uiPriority w:val="33"/>
    <w:qFormat/>
    <w:rsid w:val="00465D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RWC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001B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70C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Ross</dc:creator>
  <cp:keywords/>
  <dc:description/>
  <cp:lastModifiedBy>Milne G (Graham)</cp:lastModifiedBy>
  <cp:revision>8</cp:revision>
  <dcterms:created xsi:type="dcterms:W3CDTF">2021-01-29T09:46:00Z</dcterms:created>
  <dcterms:modified xsi:type="dcterms:W3CDTF">2021-02-01T10:11:00Z</dcterms:modified>
</cp:coreProperties>
</file>